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B2" w:rsidRDefault="001D13B2"/>
    <w:p w:rsidR="0047334A" w:rsidRPr="00834B37" w:rsidRDefault="0047334A" w:rsidP="0047334A">
      <w:pPr>
        <w:jc w:val="center"/>
      </w:pPr>
      <w:r w:rsidRPr="006530FB">
        <w:rPr>
          <w:rFonts w:ascii="Calibri" w:eastAsia="Times New Roman" w:hAnsi="Calibri" w:cs="Times New Roman"/>
          <w:color w:val="000000"/>
          <w:lang w:eastAsia="pl-PL"/>
        </w:rPr>
        <w:t>Projekt nr</w:t>
      </w:r>
      <w:r w:rsidRPr="0062434C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Pr="00296594">
        <w:rPr>
          <w:rFonts w:ascii="Segoe UI" w:hAnsi="Segoe UI" w:cs="Segoe UI"/>
          <w:color w:val="201F1E"/>
          <w:shd w:val="clear" w:color="auto" w:fill="FFFFFF"/>
        </w:rPr>
        <w:t xml:space="preserve">RPLD.11.01.03-10-0002/20 </w:t>
      </w:r>
      <w:r w:rsidRPr="006530FB">
        <w:rPr>
          <w:rFonts w:ascii="Calibri" w:eastAsia="Times New Roman" w:hAnsi="Calibri" w:cs="Times New Roman"/>
          <w:color w:val="000000"/>
          <w:lang w:eastAsia="pl-PL"/>
        </w:rPr>
        <w:t xml:space="preserve">pn. </w:t>
      </w:r>
      <w:r w:rsidRPr="00EF4770">
        <w:rPr>
          <w:rFonts w:ascii="Arial" w:hAnsi="Arial" w:cs="Arial"/>
          <w:sz w:val="20"/>
          <w:szCs w:val="20"/>
          <w:lang w:eastAsia="ar-SA"/>
        </w:rPr>
        <w:t>„Razem aktywni”</w:t>
      </w:r>
      <w:r w:rsidRPr="006530FB">
        <w:rPr>
          <w:rFonts w:ascii="Calibri" w:eastAsia="Times New Roman" w:hAnsi="Calibri" w:cs="Times New Roman"/>
          <w:color w:val="000000"/>
          <w:lang w:eastAsia="pl-PL"/>
        </w:rPr>
        <w:t>, współfinansowany ze środków Europejskiego Funduszu Społecznego w ramach Regionalnego Programu Operacyjnego Województwa Łódzkiego na lata 2014-2020</w:t>
      </w:r>
    </w:p>
    <w:p w:rsidR="0047334A" w:rsidRPr="00414212" w:rsidRDefault="0047334A" w:rsidP="0047334A">
      <w:pPr>
        <w:jc w:val="center"/>
        <w:rPr>
          <w:b/>
        </w:rPr>
      </w:pPr>
      <w:r w:rsidRPr="00414212">
        <w:rPr>
          <w:b/>
        </w:rPr>
        <w:t>SZCZEGÓŁOWY OPIS PARAMETRÓW TECHNICZNYCH ZAŁĄCZNIK 2</w:t>
      </w:r>
      <w:r w:rsidR="009C4F94" w:rsidRPr="00414212">
        <w:rPr>
          <w:b/>
        </w:rPr>
        <w:t>D</w:t>
      </w:r>
    </w:p>
    <w:p w:rsidR="00552EB9" w:rsidRDefault="00B8037B"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  <w:r w:rsidRPr="00B8037B">
        <w:tab/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386"/>
        <w:gridCol w:w="1276"/>
        <w:gridCol w:w="1134"/>
      </w:tblGrid>
      <w:tr w:rsidR="0047334A" w:rsidRPr="00414212" w:rsidTr="001B31E1">
        <w:tc>
          <w:tcPr>
            <w:tcW w:w="567" w:type="dxa"/>
          </w:tcPr>
          <w:p w:rsidR="00834B37" w:rsidRPr="00414212" w:rsidRDefault="00834B37" w:rsidP="00AE46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r w:rsidRPr="00414212"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2127" w:type="dxa"/>
          </w:tcPr>
          <w:p w:rsidR="00834B37" w:rsidRPr="00414212" w:rsidRDefault="00834B37" w:rsidP="00834B37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14212">
              <w:rPr>
                <w:rFonts w:ascii="Tahoma" w:hAnsi="Tahoma" w:cs="Tahoma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5386" w:type="dxa"/>
          </w:tcPr>
          <w:p w:rsidR="00834B37" w:rsidRPr="00414212" w:rsidRDefault="00834B37" w:rsidP="00834B37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14212">
              <w:rPr>
                <w:rFonts w:ascii="Tahoma" w:hAnsi="Tahoma" w:cs="Tahoma"/>
                <w:b/>
                <w:bCs/>
                <w:sz w:val="18"/>
                <w:szCs w:val="18"/>
              </w:rPr>
              <w:t>OPIS PARAMETRÓW TECHNICZNYCH</w:t>
            </w:r>
          </w:p>
        </w:tc>
        <w:tc>
          <w:tcPr>
            <w:tcW w:w="1276" w:type="dxa"/>
          </w:tcPr>
          <w:p w:rsidR="00834B37" w:rsidRPr="00414212" w:rsidRDefault="00834B37" w:rsidP="0047334A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14212">
              <w:rPr>
                <w:rFonts w:ascii="Tahoma" w:hAnsi="Tahoma" w:cs="Tahoma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:rsidR="00834B37" w:rsidRPr="00414212" w:rsidRDefault="00834B37" w:rsidP="00834B37">
            <w:pPr>
              <w:spacing w:after="160" w:line="259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14212">
              <w:rPr>
                <w:rFonts w:ascii="Tahoma" w:hAnsi="Tahoma" w:cs="Tahoma"/>
                <w:b/>
                <w:bCs/>
                <w:sz w:val="18"/>
                <w:szCs w:val="18"/>
              </w:rPr>
              <w:t>UWAGI</w:t>
            </w:r>
          </w:p>
        </w:tc>
      </w:tr>
      <w:tr w:rsidR="009C4F94" w:rsidRPr="00414212" w:rsidTr="001B31E1">
        <w:tc>
          <w:tcPr>
            <w:tcW w:w="567" w:type="dxa"/>
          </w:tcPr>
          <w:p w:rsidR="009C4F94" w:rsidRPr="00414212" w:rsidRDefault="009C4F94" w:rsidP="009C4F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1" w:name="_Hlk56874766"/>
            <w:r w:rsidRPr="0041421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9C4F94" w:rsidRPr="00414212" w:rsidRDefault="009C4F94" w:rsidP="009C4F9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414212">
              <w:rPr>
                <w:rFonts w:ascii="Tahoma" w:hAnsi="Tahoma" w:cs="Tahoma"/>
                <w:sz w:val="18"/>
                <w:szCs w:val="18"/>
                <w:lang w:val="en-US"/>
              </w:rPr>
              <w:t>Tablica</w:t>
            </w:r>
            <w:proofErr w:type="spellEnd"/>
            <w:r w:rsidRPr="00414212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4212">
              <w:rPr>
                <w:rFonts w:ascii="Tahoma" w:hAnsi="Tahoma" w:cs="Tahoma"/>
                <w:sz w:val="18"/>
                <w:szCs w:val="18"/>
                <w:lang w:val="en-US"/>
              </w:rPr>
              <w:t>interaktywna</w:t>
            </w:r>
            <w:proofErr w:type="spellEnd"/>
          </w:p>
        </w:tc>
        <w:tc>
          <w:tcPr>
            <w:tcW w:w="5386" w:type="dxa"/>
          </w:tcPr>
          <w:p w:rsidR="009C4F94" w:rsidRPr="00414212" w:rsidRDefault="009C4F94" w:rsidP="009C4F94">
            <w:pPr>
              <w:rPr>
                <w:rFonts w:ascii="Tahoma" w:hAnsi="Tahoma" w:cs="Tahoma"/>
                <w:sz w:val="18"/>
                <w:szCs w:val="18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t xml:space="preserve">Najnowsza tablica interaktywna produkcji firmy 2x3 SA. Zastosowana technologia podczerwieni (IR) pozwala na bezproblemową i komfortową pracę 4 użytkowników jednocześnie, z założeniem, iż każdy z nich może wykonywać dowolną operację na tablicy - w tym oczywiście obsługę </w:t>
            </w:r>
            <w:proofErr w:type="spellStart"/>
            <w:r w:rsidRPr="00414212">
              <w:rPr>
                <w:rFonts w:ascii="Tahoma" w:hAnsi="Tahoma" w:cs="Tahoma"/>
                <w:sz w:val="18"/>
                <w:szCs w:val="18"/>
              </w:rPr>
              <w:t>multigestów</w:t>
            </w:r>
            <w:proofErr w:type="spellEnd"/>
            <w:r w:rsidRPr="00414212">
              <w:rPr>
                <w:rFonts w:ascii="Tahoma" w:hAnsi="Tahoma" w:cs="Tahoma"/>
                <w:sz w:val="18"/>
                <w:szCs w:val="18"/>
              </w:rPr>
              <w:t xml:space="preserve"> (m.in. </w:t>
            </w:r>
            <w:proofErr w:type="spellStart"/>
            <w:r w:rsidRPr="00414212">
              <w:rPr>
                <w:rFonts w:ascii="Tahoma" w:hAnsi="Tahoma" w:cs="Tahoma"/>
                <w:sz w:val="18"/>
                <w:szCs w:val="18"/>
              </w:rPr>
              <w:t>zoomowania</w:t>
            </w:r>
            <w:proofErr w:type="spellEnd"/>
            <w:r w:rsidRPr="00414212">
              <w:rPr>
                <w:rFonts w:ascii="Tahoma" w:hAnsi="Tahoma" w:cs="Tahoma"/>
                <w:sz w:val="18"/>
                <w:szCs w:val="18"/>
              </w:rPr>
              <w:t xml:space="preserve">, rotacji, a także przewijania). Urządzenie działa w standardzie </w:t>
            </w:r>
            <w:proofErr w:type="spellStart"/>
            <w:r w:rsidRPr="00414212">
              <w:rPr>
                <w:rFonts w:ascii="Tahoma" w:hAnsi="Tahoma" w:cs="Tahoma"/>
                <w:sz w:val="18"/>
                <w:szCs w:val="18"/>
              </w:rPr>
              <w:t>Plug&amp;Play</w:t>
            </w:r>
            <w:proofErr w:type="spellEnd"/>
            <w:r w:rsidRPr="00414212">
              <w:rPr>
                <w:rFonts w:ascii="Tahoma" w:hAnsi="Tahoma" w:cs="Tahoma"/>
                <w:sz w:val="18"/>
                <w:szCs w:val="18"/>
              </w:rPr>
              <w:t xml:space="preserve">, pozwalając na użytkowanie zaraz po podłączeniu do komputera oraz projektora. Łatwa obsługa (palcami bądź wskaźnikiem), doskonała precyzja, jednokrotna kalibracja oraz możliwość użytkowania tablicy jako tradycyjnej tablicy </w:t>
            </w:r>
            <w:proofErr w:type="spellStart"/>
            <w:r w:rsidRPr="00414212">
              <w:rPr>
                <w:rFonts w:ascii="Tahoma" w:hAnsi="Tahoma" w:cs="Tahoma"/>
                <w:sz w:val="18"/>
                <w:szCs w:val="18"/>
              </w:rPr>
              <w:t>suchościeralnej</w:t>
            </w:r>
            <w:proofErr w:type="spellEnd"/>
            <w:r w:rsidRPr="00414212">
              <w:rPr>
                <w:rFonts w:ascii="Tahoma" w:hAnsi="Tahoma" w:cs="Tahoma"/>
                <w:sz w:val="18"/>
                <w:szCs w:val="18"/>
              </w:rPr>
              <w:t xml:space="preserve"> to główne cechy naszego produktu pozwalające na prowadzenie zajęć w sposób interesujący i dynamiczny. Tablica posiada w standardzie 4 pisaki, umieszczone na dolnej półce. Tablica automatycznie po odczepieniu danego pisaka reaguje na jego dotyk na powierzchni. Pisaki są zdefiniowane w 3 kolorach (czerwony, niebieski i czarny), czwarty pisak służy jako gumka. Tablica dedykowana jest komputerom z systemem Windows XP, Windows Vista, Windows 7 oraz Windows 8 (systemy Windows Vista oraz XP nie posiadają w standardzie możliwości obsługi </w:t>
            </w:r>
            <w:proofErr w:type="spellStart"/>
            <w:r w:rsidRPr="00414212">
              <w:rPr>
                <w:rFonts w:ascii="Tahoma" w:hAnsi="Tahoma" w:cs="Tahoma"/>
                <w:sz w:val="18"/>
                <w:szCs w:val="18"/>
              </w:rPr>
              <w:t>multigestów</w:t>
            </w:r>
            <w:proofErr w:type="spellEnd"/>
            <w:r w:rsidRPr="00414212">
              <w:rPr>
                <w:rFonts w:ascii="Tahoma" w:hAnsi="Tahoma" w:cs="Tahoma"/>
                <w:sz w:val="18"/>
                <w:szCs w:val="18"/>
              </w:rPr>
              <w:t xml:space="preserve">). Do tablicy dołączone jest oprogramowanie pozwalające m.in. na: rysowanie, transformacje, importowanie multimediów, zrzuty ekranowe, rejestrowanie wideo, zapis prezentacji do formatu PDF itp.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>Rekomendowane parametry komputera (minimalne):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Procesor Intel </w:t>
            </w:r>
            <w:proofErr w:type="spellStart"/>
            <w:r w:rsidRPr="00414212">
              <w:rPr>
                <w:rFonts w:ascii="Tahoma" w:hAnsi="Tahoma" w:cs="Tahoma"/>
                <w:sz w:val="18"/>
                <w:szCs w:val="18"/>
              </w:rPr>
              <w:t>Core</w:t>
            </w:r>
            <w:proofErr w:type="spellEnd"/>
            <w:r w:rsidRPr="00414212">
              <w:rPr>
                <w:rFonts w:ascii="Tahoma" w:hAnsi="Tahoma" w:cs="Tahoma"/>
                <w:sz w:val="18"/>
                <w:szCs w:val="18"/>
              </w:rPr>
              <w:t xml:space="preserve"> 2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2 GB pamięci RAM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Karta graficzna XGA (1024×768)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650 MB wolnego miejsca na twardym dysku (instalacja)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Port USB 2.0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Windows XP SP3, Windows Vista, Windows 7, 8 lub 10.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Microsoft .NET Framework 3.5 (lub wyżej)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Adobe Flash Player (wersja 9.0 lub wyższa)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2048 MB pamięci RAM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Karta dźwiękowa / głośniki / mikrofon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>W zestawie: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tablica interaktywna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4 pisaki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oprogramowanie </w:t>
            </w:r>
            <w:proofErr w:type="spellStart"/>
            <w:r w:rsidRPr="00414212">
              <w:rPr>
                <w:rFonts w:ascii="Tahoma" w:hAnsi="Tahoma" w:cs="Tahoma"/>
                <w:sz w:val="18"/>
                <w:szCs w:val="18"/>
              </w:rPr>
              <w:t>ésprit</w:t>
            </w:r>
            <w:proofErr w:type="spellEnd"/>
            <w:r w:rsidRPr="00414212">
              <w:rPr>
                <w:rFonts w:ascii="Tahoma" w:hAnsi="Tahoma" w:cs="Tahoma"/>
                <w:sz w:val="18"/>
                <w:szCs w:val="18"/>
              </w:rPr>
              <w:t xml:space="preserve"> oraz sterownik na CD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kabel USB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moduł Wi-Fi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instrukcja obsługi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elementy do montażu na ścianie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Gwarancja: 3 lata na produkt, dożywotnia na powierzchnię tablicy!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Specyfikacja techniczna: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Wym. całkowite 210,4 × 128,4 cm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Wym. obszaru roboczego 198,8 ×116,8 cm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Przekątna 96”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Rozdzielczość 8192 × 8192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</w:r>
            <w:r w:rsidRPr="00414212">
              <w:rPr>
                <w:rFonts w:ascii="Tahoma" w:hAnsi="Tahoma" w:cs="Tahoma"/>
                <w:sz w:val="18"/>
                <w:szCs w:val="18"/>
              </w:rPr>
              <w:lastRenderedPageBreak/>
              <w:t xml:space="preserve">• Grubość 3 cm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Waga 33 kg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Powierzchnia ceramiczna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Właściwości powierzchni: </w:t>
            </w:r>
            <w:proofErr w:type="spellStart"/>
            <w:r w:rsidRPr="00414212">
              <w:rPr>
                <w:rFonts w:ascii="Tahoma" w:hAnsi="Tahoma" w:cs="Tahoma"/>
                <w:sz w:val="18"/>
                <w:szCs w:val="18"/>
              </w:rPr>
              <w:t>suchościeralna</w:t>
            </w:r>
            <w:proofErr w:type="spellEnd"/>
            <w:r w:rsidRPr="00414212">
              <w:rPr>
                <w:rFonts w:ascii="Tahoma" w:hAnsi="Tahoma" w:cs="Tahoma"/>
                <w:sz w:val="18"/>
                <w:szCs w:val="18"/>
              </w:rPr>
              <w:t xml:space="preserve">, magnetyczna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Technologia IR (podczerwień)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Kolor ramy srebrny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Sposób obsługi za pomocą palca lub dowolnego wskaźnika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Dokładność pozycjonowania ≤0,2 mm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• Szybkość kursora min. 125 punktów/s 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>• Czas reakcji: pierwszy punkt 25 m/s, kolejne 8 m/s.</w:t>
            </w:r>
          </w:p>
        </w:tc>
        <w:tc>
          <w:tcPr>
            <w:tcW w:w="1276" w:type="dxa"/>
          </w:tcPr>
          <w:p w:rsidR="009C4F94" w:rsidRPr="00414212" w:rsidRDefault="009C4F94" w:rsidP="009C4F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lastRenderedPageBreak/>
              <w:t>4</w:t>
            </w:r>
          </w:p>
        </w:tc>
        <w:tc>
          <w:tcPr>
            <w:tcW w:w="1134" w:type="dxa"/>
          </w:tcPr>
          <w:p w:rsidR="009C4F94" w:rsidRPr="00414212" w:rsidRDefault="009C4F94" w:rsidP="009C4F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4F94" w:rsidRPr="00414212" w:rsidTr="001B31E1">
        <w:tc>
          <w:tcPr>
            <w:tcW w:w="567" w:type="dxa"/>
          </w:tcPr>
          <w:p w:rsidR="009C4F94" w:rsidRPr="00414212" w:rsidRDefault="009C4F94" w:rsidP="009C4F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</w:tcPr>
          <w:p w:rsidR="009C4F94" w:rsidRPr="00414212" w:rsidRDefault="009C4F94" w:rsidP="009C4F9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414212">
              <w:rPr>
                <w:rFonts w:ascii="Tahoma" w:hAnsi="Tahoma" w:cs="Tahoma"/>
                <w:sz w:val="18"/>
                <w:szCs w:val="18"/>
                <w:lang w:val="en-US"/>
              </w:rPr>
              <w:t>Rzutnik</w:t>
            </w:r>
            <w:proofErr w:type="spellEnd"/>
          </w:p>
        </w:tc>
        <w:tc>
          <w:tcPr>
            <w:tcW w:w="5386" w:type="dxa"/>
          </w:tcPr>
          <w:p w:rsidR="009C4F94" w:rsidRPr="00414212" w:rsidRDefault="009C4F94" w:rsidP="009C4F94">
            <w:pPr>
              <w:rPr>
                <w:rFonts w:ascii="Tahoma" w:hAnsi="Tahoma" w:cs="Tahoma"/>
                <w:sz w:val="18"/>
                <w:szCs w:val="18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t>Projektor multimedialny wyświetlający w rozdzielczości do 1920×1200 pikseli z zoomem ręcznym. Wysoka jasność 3600 lumenów i wysoki kontrast 20 000: 1 zapewniają użyteczność nawet w gorszych warunkach oświetleniowych. Lampa o żywotności 5 000 h zapewnia długą pracę bez potrzeby wymiany.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>Technologia: DLP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>Rozdzielczość: 1024 x 768 (XGA)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>Maksymalna rozdzielczość: 1920 x 1200 (WUXGA)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>Format obrazu: 4:3 (podstawowy), 16:9 (obsługiwany)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>Jasność (tryb standardowy): 3600 lm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>Kontrast: 20 000:1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>Wbudowany głośnik o mocy 10W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>Moc lampy: 203 W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>Żywotność lampy: 5 000 h (tryb normalny) - 10 000 h (tryb ekonomiczny)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Złącza (wejścia): 2 x VGA </w:t>
            </w:r>
            <w:proofErr w:type="spellStart"/>
            <w:r w:rsidRPr="00414212">
              <w:rPr>
                <w:rFonts w:ascii="Tahoma" w:hAnsi="Tahoma" w:cs="Tahoma"/>
                <w:sz w:val="18"/>
                <w:szCs w:val="18"/>
              </w:rPr>
              <w:t>input</w:t>
            </w:r>
            <w:proofErr w:type="spellEnd"/>
            <w:r w:rsidRPr="00414212">
              <w:rPr>
                <w:rFonts w:ascii="Tahoma" w:hAnsi="Tahoma" w:cs="Tahoma"/>
                <w:sz w:val="18"/>
                <w:szCs w:val="18"/>
              </w:rPr>
              <w:t>, 1 x RCA Video, 1 x HDMI, 1 x HDMI/MHL, 1 x Audio 3.5mm, 1 x RJ45</w:t>
            </w:r>
            <w:r w:rsidRPr="00414212">
              <w:rPr>
                <w:rFonts w:ascii="Tahoma" w:hAnsi="Tahoma" w:cs="Tahoma"/>
                <w:sz w:val="18"/>
                <w:szCs w:val="18"/>
              </w:rPr>
              <w:br/>
              <w:t xml:space="preserve">Złącza (wyjścia): 1 x VGA </w:t>
            </w:r>
            <w:proofErr w:type="spellStart"/>
            <w:r w:rsidRPr="00414212">
              <w:rPr>
                <w:rFonts w:ascii="Tahoma" w:hAnsi="Tahoma" w:cs="Tahoma"/>
                <w:sz w:val="18"/>
                <w:szCs w:val="18"/>
              </w:rPr>
              <w:t>output</w:t>
            </w:r>
            <w:proofErr w:type="spellEnd"/>
            <w:r w:rsidRPr="00414212">
              <w:rPr>
                <w:rFonts w:ascii="Tahoma" w:hAnsi="Tahoma" w:cs="Tahoma"/>
                <w:sz w:val="18"/>
                <w:szCs w:val="18"/>
              </w:rPr>
              <w:t xml:space="preserve">, 1 x Audio 3.5mm, 2 x USB, 1 x RS-232, 1 x mini-USB Zawartość opakowania: instrukcja obsługi, kabel zasilający, karta gwarancyjna, osłona obiektywu, baterie do pilota, pilot, torba </w:t>
            </w:r>
          </w:p>
          <w:p w:rsidR="009C4F94" w:rsidRPr="00414212" w:rsidRDefault="009C4F94" w:rsidP="009C4F94">
            <w:pPr>
              <w:rPr>
                <w:rFonts w:ascii="Tahoma" w:hAnsi="Tahoma" w:cs="Tahoma"/>
                <w:sz w:val="18"/>
                <w:szCs w:val="18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t>W przypadku urządzeń multimedialnych i elektronicznych oraz produktów wymagających legalizacji, dokumenty bezpieczeństwa (certyfikaty, deklaracje zgodności CE, potwierdzenia legalizacji) dołączane są przez producenta bezpośrednio do produktu. Dokumentu należy spodziewać się w załączonych kartach gwarancyjnych, instrukcjach etc.</w:t>
            </w:r>
          </w:p>
        </w:tc>
        <w:tc>
          <w:tcPr>
            <w:tcW w:w="1276" w:type="dxa"/>
          </w:tcPr>
          <w:p w:rsidR="009C4F94" w:rsidRPr="00414212" w:rsidRDefault="009C4F94" w:rsidP="009C4F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C4F94" w:rsidRPr="00414212" w:rsidRDefault="009C4F94" w:rsidP="009C4F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4F94" w:rsidRPr="00414212" w:rsidTr="001B31E1">
        <w:tc>
          <w:tcPr>
            <w:tcW w:w="567" w:type="dxa"/>
          </w:tcPr>
          <w:p w:rsidR="009C4F94" w:rsidRPr="00414212" w:rsidRDefault="009C4F94" w:rsidP="009C4F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9C4F94" w:rsidRPr="00414212" w:rsidRDefault="009C4F94" w:rsidP="009C4F9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t>Laptop</w:t>
            </w:r>
          </w:p>
        </w:tc>
        <w:tc>
          <w:tcPr>
            <w:tcW w:w="5386" w:type="dxa"/>
          </w:tcPr>
          <w:p w:rsidR="009C4F94" w:rsidRPr="00414212" w:rsidRDefault="009C4F94" w:rsidP="009C4F94">
            <w:pPr>
              <w:rPr>
                <w:rFonts w:ascii="Tahoma" w:hAnsi="Tahoma" w:cs="Tahoma"/>
                <w:sz w:val="18"/>
                <w:szCs w:val="18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t xml:space="preserve">Procesor-Intel </w:t>
            </w:r>
            <w:proofErr w:type="spellStart"/>
            <w:r w:rsidRPr="00414212">
              <w:rPr>
                <w:rFonts w:ascii="Tahoma" w:hAnsi="Tahoma" w:cs="Tahoma"/>
                <w:sz w:val="18"/>
                <w:szCs w:val="18"/>
              </w:rPr>
              <w:t>Core</w:t>
            </w:r>
            <w:proofErr w:type="spellEnd"/>
            <w:r w:rsidRPr="00414212">
              <w:rPr>
                <w:rFonts w:ascii="Tahoma" w:hAnsi="Tahoma" w:cs="Tahoma"/>
                <w:sz w:val="18"/>
                <w:szCs w:val="18"/>
              </w:rPr>
              <w:t xml:space="preserve"> i5-1035G1,  Dysk - 512 GB, pamięć - 8GB, ekran - 15,6 cali, rozdzielczość 1920x1080, karta pamięci - Intel UHD </w:t>
            </w:r>
            <w:proofErr w:type="spellStart"/>
            <w:r w:rsidRPr="00414212">
              <w:rPr>
                <w:rFonts w:ascii="Tahoma" w:hAnsi="Tahoma" w:cs="Tahoma"/>
                <w:sz w:val="18"/>
                <w:szCs w:val="18"/>
              </w:rPr>
              <w:t>graphics</w:t>
            </w:r>
            <w:proofErr w:type="spellEnd"/>
            <w:r w:rsidRPr="00414212">
              <w:rPr>
                <w:rFonts w:ascii="Tahoma" w:hAnsi="Tahoma" w:cs="Tahoma"/>
                <w:sz w:val="18"/>
                <w:szCs w:val="18"/>
              </w:rPr>
              <w:t>, Karta dźwiękowa - zintegrowana, wbudowane głośniki, mikrofon i kamera.</w:t>
            </w:r>
          </w:p>
        </w:tc>
        <w:tc>
          <w:tcPr>
            <w:tcW w:w="1276" w:type="dxa"/>
          </w:tcPr>
          <w:p w:rsidR="009C4F94" w:rsidRPr="00414212" w:rsidRDefault="009C4F94" w:rsidP="009C4F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C4F94" w:rsidRPr="00414212" w:rsidRDefault="009C4F94" w:rsidP="009C4F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4F94" w:rsidRPr="00414212" w:rsidTr="001B31E1">
        <w:tc>
          <w:tcPr>
            <w:tcW w:w="567" w:type="dxa"/>
          </w:tcPr>
          <w:p w:rsidR="009C4F94" w:rsidRPr="00414212" w:rsidRDefault="009C4F94" w:rsidP="009C4F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9C4F94" w:rsidRPr="00414212" w:rsidRDefault="009C4F94" w:rsidP="009C4F9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t>Kserokopiarka</w:t>
            </w:r>
          </w:p>
        </w:tc>
        <w:tc>
          <w:tcPr>
            <w:tcW w:w="5386" w:type="dxa"/>
          </w:tcPr>
          <w:p w:rsidR="009C4F94" w:rsidRPr="00414212" w:rsidRDefault="009C4F94" w:rsidP="009C4F94">
            <w:pPr>
              <w:rPr>
                <w:rFonts w:ascii="Tahoma" w:hAnsi="Tahoma" w:cs="Tahoma"/>
                <w:sz w:val="18"/>
                <w:szCs w:val="18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t xml:space="preserve">Ekonomiczne urządzenie wielofunkcyjne, w którym można założyć do 1000 kont użytkowników, również z identyfikacją poprzez przyłożenie palca do czytnika. Znakomitej jakości skany i wydruki wykonuje z prędkością (papier A4) do 25 stron na minutę – również w kolorze. Bez trudu radzi sobie z papierem o wysokiej gramaturze (do 271 g/m2) oraz formatami A6-A3 lub </w:t>
            </w:r>
            <w:proofErr w:type="spellStart"/>
            <w:r w:rsidRPr="00414212">
              <w:rPr>
                <w:rFonts w:ascii="Tahoma" w:hAnsi="Tahoma" w:cs="Tahoma"/>
                <w:sz w:val="18"/>
                <w:szCs w:val="18"/>
              </w:rPr>
              <w:t>banerowym</w:t>
            </w:r>
            <w:proofErr w:type="spellEnd"/>
            <w:r w:rsidRPr="00414212">
              <w:rPr>
                <w:rFonts w:ascii="Tahoma" w:hAnsi="Tahoma" w:cs="Tahoma"/>
                <w:sz w:val="18"/>
                <w:szCs w:val="18"/>
              </w:rPr>
              <w:t xml:space="preserve"> (1200 × 297). Standardowo mieści 1150 arkuszy na wejściu i 1200 na wyjściu. Skanuje monochromatycznie i w kolorze z prędkością do 70 stron na minutę. Obsługuje formaty JPEG, TIFF, XPS, PDF, Compact PDF i PDF z szyfrowaniem. Dziurkuje, zszywa, składa na środku, produkuje broszury i sortuje dokumenty. Faksuje w rozdzielczości maksymalnej 600 × 600 </w:t>
            </w:r>
            <w:proofErr w:type="spellStart"/>
            <w:r w:rsidRPr="00414212">
              <w:rPr>
                <w:rFonts w:ascii="Tahoma" w:hAnsi="Tahoma" w:cs="Tahoma"/>
                <w:sz w:val="18"/>
                <w:szCs w:val="18"/>
              </w:rPr>
              <w:t>dpi</w:t>
            </w:r>
            <w:proofErr w:type="spellEnd"/>
            <w:r w:rsidRPr="0041421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C4F94" w:rsidRPr="00414212" w:rsidRDefault="009C4F94" w:rsidP="009C4F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9C4F94" w:rsidRPr="00414212" w:rsidRDefault="009C4F94" w:rsidP="009C4F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4F94" w:rsidRPr="00414212" w:rsidTr="001B31E1">
        <w:tc>
          <w:tcPr>
            <w:tcW w:w="567" w:type="dxa"/>
          </w:tcPr>
          <w:p w:rsidR="009C4F94" w:rsidRPr="00414212" w:rsidRDefault="009C4F94" w:rsidP="009C4F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9C4F94" w:rsidRPr="00414212" w:rsidRDefault="009C4F94" w:rsidP="009C4F9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t>Laminator</w:t>
            </w:r>
          </w:p>
        </w:tc>
        <w:tc>
          <w:tcPr>
            <w:tcW w:w="5386" w:type="dxa"/>
          </w:tcPr>
          <w:p w:rsidR="009C4F94" w:rsidRPr="00414212" w:rsidRDefault="009C4F94" w:rsidP="009C4F94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Laminator do regularnego użytku w małym lub przydomowym biurze. </w:t>
            </w:r>
          </w:p>
          <w:p w:rsidR="009C4F94" w:rsidRPr="00414212" w:rsidRDefault="009C4F94" w:rsidP="009C4F9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Maks. format laminowanego dokumentu: A3. </w:t>
            </w:r>
          </w:p>
          <w:p w:rsidR="009C4F94" w:rsidRPr="00414212" w:rsidRDefault="009C4F94" w:rsidP="009C4F9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Szerokość wejścia: 320 mm. </w:t>
            </w:r>
          </w:p>
          <w:p w:rsidR="009C4F94" w:rsidRPr="00414212" w:rsidRDefault="009C4F94" w:rsidP="009C4F9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Maksymalna grubość folii </w:t>
            </w:r>
            <w:proofErr w:type="spellStart"/>
            <w:r w:rsidRPr="004142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laminacyjnej</w:t>
            </w:r>
            <w:proofErr w:type="spellEnd"/>
            <w:r w:rsidRPr="004142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: 125 mik. </w:t>
            </w:r>
          </w:p>
          <w:p w:rsidR="009C4F94" w:rsidRPr="00414212" w:rsidRDefault="009C4F94" w:rsidP="009C4F9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Laminacja na zimno i na gorąco. </w:t>
            </w:r>
          </w:p>
          <w:p w:rsidR="009C4F94" w:rsidRPr="00414212" w:rsidRDefault="009C4F94" w:rsidP="009C4F9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Krótki czas nagrzewania – dzięki technologii </w:t>
            </w:r>
            <w:proofErr w:type="spellStart"/>
            <w:r w:rsidRPr="004142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InstaHeat</w:t>
            </w:r>
            <w:proofErr w:type="spellEnd"/>
            <w:r w:rsidRPr="004142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to tylko 60 sekund. </w:t>
            </w:r>
          </w:p>
          <w:p w:rsidR="009C4F94" w:rsidRPr="00414212" w:rsidRDefault="009C4F94" w:rsidP="009C4F9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 xml:space="preserve">Dioda LED sygnalizuje możliwe zablokowanie laminowanego dokumentu, dźwignia zwalniania napędu wałków ułatwia wycofanie dokumentu. </w:t>
            </w:r>
          </w:p>
          <w:p w:rsidR="009C4F94" w:rsidRPr="00414212" w:rsidRDefault="009C4F94" w:rsidP="009C4F9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Uchwyty ułatwiające przenoszenie. </w:t>
            </w:r>
          </w:p>
          <w:p w:rsidR="009C4F94" w:rsidRPr="00414212" w:rsidRDefault="009C4F94" w:rsidP="009C4F9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Energooszczędny - funkcja Auto </w:t>
            </w:r>
            <w:proofErr w:type="spellStart"/>
            <w:r w:rsidRPr="004142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Shut</w:t>
            </w:r>
            <w:proofErr w:type="spellEnd"/>
            <w:r w:rsidRPr="004142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 Off zapewnia automatyczne wyłączenie po 30 minutach braku aktywności redukując pobór energii i zapobiegając przegrzaniu. </w:t>
            </w:r>
          </w:p>
          <w:p w:rsidR="009C4F94" w:rsidRPr="00414212" w:rsidRDefault="009C4F94" w:rsidP="009C4F9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Prędkość laminacji 30 cm na minutę. </w:t>
            </w:r>
          </w:p>
          <w:p w:rsidR="009C4F94" w:rsidRPr="00414212" w:rsidRDefault="009C4F94" w:rsidP="009C4F9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Pakiet startowy 10 szt. folii A4 80 mik. w zestawie. </w:t>
            </w:r>
          </w:p>
          <w:p w:rsidR="009C4F94" w:rsidRPr="00414212" w:rsidRDefault="009C4F94" w:rsidP="009C4F94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2 lata gwarancji na urządzenie. </w:t>
            </w:r>
          </w:p>
        </w:tc>
        <w:tc>
          <w:tcPr>
            <w:tcW w:w="1276" w:type="dxa"/>
          </w:tcPr>
          <w:p w:rsidR="009C4F94" w:rsidRPr="00414212" w:rsidRDefault="009C4F94" w:rsidP="009C4F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</w:tcPr>
          <w:p w:rsidR="009C4F94" w:rsidRPr="00414212" w:rsidRDefault="009C4F94" w:rsidP="009C4F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4F94" w:rsidRPr="00414212" w:rsidTr="001B31E1">
        <w:tc>
          <w:tcPr>
            <w:tcW w:w="567" w:type="dxa"/>
          </w:tcPr>
          <w:p w:rsidR="009C4F94" w:rsidRPr="00414212" w:rsidRDefault="009C4F94" w:rsidP="009C4F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</w:p>
        </w:tc>
        <w:tc>
          <w:tcPr>
            <w:tcW w:w="2127" w:type="dxa"/>
          </w:tcPr>
          <w:p w:rsidR="009C4F94" w:rsidRPr="00414212" w:rsidRDefault="009C4F94" w:rsidP="009C4F9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t>Wieża CD</w:t>
            </w:r>
          </w:p>
        </w:tc>
        <w:tc>
          <w:tcPr>
            <w:tcW w:w="5386" w:type="dxa"/>
          </w:tcPr>
          <w:p w:rsidR="009C4F94" w:rsidRPr="00414212" w:rsidRDefault="009C4F94" w:rsidP="009C4F94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waga [kg] 3.55</w:t>
            </w:r>
          </w:p>
          <w:p w:rsidR="009C4F94" w:rsidRPr="00414212" w:rsidRDefault="009C4F94" w:rsidP="009C4F94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wymiary kolumn 150 x 238 x 125 mm</w:t>
            </w:r>
          </w:p>
          <w:p w:rsidR="009C4F94" w:rsidRPr="00414212" w:rsidRDefault="009C4F94" w:rsidP="009C4F94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wymiary zestawu 180 x 121 x 247 mm                                         Funkcje dodatkowe:</w:t>
            </w:r>
            <w:r w:rsidRPr="004142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budzenie, ładowanie przez port USB, wyświetlacz, zegar</w:t>
            </w:r>
            <w:r w:rsidRPr="004142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</w:t>
            </w:r>
          </w:p>
          <w:p w:rsidR="009C4F94" w:rsidRPr="00414212" w:rsidRDefault="009C4F94" w:rsidP="009C4F94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Korektor dźwięku (</w:t>
            </w:r>
            <w:proofErr w:type="spellStart"/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Equalizer</w:t>
            </w:r>
            <w:proofErr w:type="spellEnd"/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 Podbicie basu </w:t>
            </w:r>
            <w:r w:rsidRPr="004142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</w:t>
            </w:r>
          </w:p>
          <w:p w:rsidR="009C4F94" w:rsidRPr="00414212" w:rsidRDefault="009C4F94" w:rsidP="009C4F94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Odtwarzacz płyt</w:t>
            </w:r>
            <w:r w:rsidRPr="004142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CDCD - RCD - RWMP3</w:t>
            </w:r>
            <w:r w:rsidRPr="004142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                              </w:t>
            </w:r>
          </w:p>
          <w:p w:rsidR="009C4F94" w:rsidRPr="00414212" w:rsidRDefault="009C4F94" w:rsidP="009C4F94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Moc znamionowa RMS -15 W</w:t>
            </w:r>
            <w:r w:rsidRPr="004142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9C4F94" w:rsidRPr="00414212" w:rsidRDefault="009C4F94" w:rsidP="009C4F94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Standardy odtwarzania dźwięku MP3WMA</w:t>
            </w:r>
            <w:r w:rsidRPr="004142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       </w:t>
            </w:r>
          </w:p>
          <w:p w:rsidR="009C4F94" w:rsidRPr="00414212" w:rsidRDefault="009C4F94" w:rsidP="009C4F94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Typ kolumn </w:t>
            </w:r>
            <w:proofErr w:type="spellStart"/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Bass</w:t>
            </w:r>
            <w:proofErr w:type="spellEnd"/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Refle</w:t>
            </w:r>
            <w:proofErr w:type="spellEnd"/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x</w:t>
            </w:r>
            <w:r w:rsidRPr="0041421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414212">
              <w:rPr>
                <w:rStyle w:val="is-text"/>
                <w:rFonts w:ascii="Tahoma" w:hAnsi="Tahoma" w:cs="Tahoma"/>
                <w:sz w:val="18"/>
                <w:szCs w:val="18"/>
              </w:rPr>
              <w:t>Wejście liniowe audio AUX</w:t>
            </w:r>
            <w:r w:rsidRPr="00414212">
              <w:rPr>
                <w:rStyle w:val="is-text"/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  </w:t>
            </w:r>
            <w:r w:rsidRPr="00414212">
              <w:rPr>
                <w:rStyle w:val="is-text"/>
                <w:rFonts w:ascii="Tahoma" w:hAnsi="Tahoma" w:cs="Tahoma"/>
                <w:sz w:val="18"/>
                <w:szCs w:val="18"/>
              </w:rPr>
              <w:t>Złącze USB</w:t>
            </w:r>
          </w:p>
        </w:tc>
        <w:tc>
          <w:tcPr>
            <w:tcW w:w="1276" w:type="dxa"/>
          </w:tcPr>
          <w:p w:rsidR="009C4F94" w:rsidRPr="00414212" w:rsidRDefault="009C4F94" w:rsidP="009C4F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C4F94" w:rsidRPr="00414212" w:rsidRDefault="009C4F94" w:rsidP="009C4F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C4F94" w:rsidRPr="00414212" w:rsidTr="001B31E1">
        <w:tc>
          <w:tcPr>
            <w:tcW w:w="567" w:type="dxa"/>
          </w:tcPr>
          <w:p w:rsidR="009C4F94" w:rsidRPr="00414212" w:rsidRDefault="009C4F94" w:rsidP="009C4F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9C4F94" w:rsidRPr="00414212" w:rsidRDefault="009C4F94" w:rsidP="009C4F94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t>Głośnik Bluetooth</w:t>
            </w:r>
          </w:p>
        </w:tc>
        <w:tc>
          <w:tcPr>
            <w:tcW w:w="5386" w:type="dxa"/>
          </w:tcPr>
          <w:p w:rsidR="009C4F94" w:rsidRPr="00414212" w:rsidRDefault="009C4F94" w:rsidP="009C4F94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t xml:space="preserve"> JBL </w:t>
            </w:r>
            <w:proofErr w:type="spellStart"/>
            <w:r w:rsidRPr="00414212">
              <w:rPr>
                <w:rFonts w:ascii="Tahoma" w:hAnsi="Tahoma" w:cs="Tahoma"/>
                <w:sz w:val="18"/>
                <w:szCs w:val="18"/>
              </w:rPr>
              <w:t>Charge</w:t>
            </w:r>
            <w:proofErr w:type="spellEnd"/>
            <w:r w:rsidRPr="00414212">
              <w:rPr>
                <w:rFonts w:ascii="Tahoma" w:hAnsi="Tahoma" w:cs="Tahoma"/>
                <w:sz w:val="18"/>
                <w:szCs w:val="18"/>
              </w:rPr>
              <w:t xml:space="preserve"> 5 to kolejna generacja wodoodpornego głośnika pełniącego także funkcję </w:t>
            </w:r>
            <w:proofErr w:type="spellStart"/>
            <w:r w:rsidRPr="00414212">
              <w:rPr>
                <w:rFonts w:ascii="Tahoma" w:hAnsi="Tahoma" w:cs="Tahoma"/>
                <w:sz w:val="18"/>
                <w:szCs w:val="18"/>
              </w:rPr>
              <w:t>powerbanku</w:t>
            </w:r>
            <w:proofErr w:type="spellEnd"/>
            <w:r w:rsidRPr="00414212">
              <w:rPr>
                <w:rFonts w:ascii="Tahoma" w:hAnsi="Tahoma" w:cs="Tahoma"/>
                <w:sz w:val="18"/>
                <w:szCs w:val="18"/>
              </w:rPr>
              <w:t xml:space="preserve">. JBL </w:t>
            </w:r>
            <w:proofErr w:type="spellStart"/>
            <w:r w:rsidRPr="00414212">
              <w:rPr>
                <w:rFonts w:ascii="Tahoma" w:hAnsi="Tahoma" w:cs="Tahoma"/>
                <w:sz w:val="18"/>
                <w:szCs w:val="18"/>
              </w:rPr>
              <w:t>Charge</w:t>
            </w:r>
            <w:proofErr w:type="spellEnd"/>
            <w:r w:rsidRPr="00414212">
              <w:rPr>
                <w:rFonts w:ascii="Tahoma" w:hAnsi="Tahoma" w:cs="Tahoma"/>
                <w:sz w:val="18"/>
                <w:szCs w:val="18"/>
              </w:rPr>
              <w:t xml:space="preserve"> 5 to bezprzewodowy głośnik, który można obsługiwać przez Bluetooth bez kłopotów z przewodami.</w:t>
            </w:r>
          </w:p>
          <w:p w:rsidR="009C4F94" w:rsidRPr="00414212" w:rsidRDefault="009C4F94" w:rsidP="009C4F94">
            <w:pPr>
              <w:numPr>
                <w:ilvl w:val="0"/>
                <w:numId w:val="2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169" w:hanging="14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Naładowanie urządzenie pozwala odtwarzać muzykę nawet przez 20 godzin, jak również ładować inne urządzenia przenośne poprzez wbudowany port USB </w:t>
            </w:r>
          </w:p>
          <w:p w:rsidR="009C4F94" w:rsidRPr="00414212" w:rsidRDefault="009C4F94" w:rsidP="009C4F94">
            <w:pPr>
              <w:numPr>
                <w:ilvl w:val="0"/>
                <w:numId w:val="2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169" w:hanging="14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Obsługa Bluetooth pozwala korzystać z wyjątkowych możliwości odtwarzania bezprzewodowego</w:t>
            </w:r>
          </w:p>
          <w:p w:rsidR="009C4F94" w:rsidRPr="00414212" w:rsidRDefault="009C4F94" w:rsidP="009C4F94">
            <w:pPr>
              <w:numPr>
                <w:ilvl w:val="0"/>
                <w:numId w:val="2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169" w:hanging="14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Nie jest mu straszna impreza na basenie lub nad wodą dzięki wodoodporności IP67</w:t>
            </w:r>
          </w:p>
          <w:p w:rsidR="009C4F94" w:rsidRPr="00414212" w:rsidRDefault="009C4F94" w:rsidP="009C4F94">
            <w:pPr>
              <w:numPr>
                <w:ilvl w:val="0"/>
                <w:numId w:val="2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169" w:hanging="14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Głośnik jest wyposażony w przetwornik w kształcie toru wyścigowego, oddzielny głośnik wysokotonowy i podwójne membrany pasywne zapewniające imponującą klarowność dźwięku i głębokie basy, oferując słuchaczom JBL </w:t>
            </w:r>
            <w:proofErr w:type="spellStart"/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Original</w:t>
            </w:r>
            <w:proofErr w:type="spellEnd"/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Pro Sound</w:t>
            </w:r>
          </w:p>
          <w:p w:rsidR="009C4F94" w:rsidRPr="00414212" w:rsidRDefault="009C4F94" w:rsidP="009C4F94">
            <w:pPr>
              <w:numPr>
                <w:ilvl w:val="0"/>
                <w:numId w:val="29"/>
              </w:numPr>
              <w:tabs>
                <w:tab w:val="clear" w:pos="720"/>
                <w:tab w:val="num" w:pos="453"/>
              </w:tabs>
              <w:spacing w:before="100" w:beforeAutospacing="1" w:after="100" w:afterAutospacing="1"/>
              <w:ind w:left="169" w:hanging="14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41421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 wyboru różne kolory</w:t>
            </w:r>
          </w:p>
        </w:tc>
        <w:tc>
          <w:tcPr>
            <w:tcW w:w="1276" w:type="dxa"/>
          </w:tcPr>
          <w:p w:rsidR="009C4F94" w:rsidRPr="00414212" w:rsidRDefault="009C4F94" w:rsidP="009C4F9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1421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C4F94" w:rsidRPr="00414212" w:rsidRDefault="009C4F94" w:rsidP="009C4F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bookmarkEnd w:id="1"/>
      <w:bookmarkEnd w:id="0"/>
    </w:tbl>
    <w:p w:rsidR="001B31E1" w:rsidRPr="00414212" w:rsidRDefault="001B31E1" w:rsidP="001B31E1">
      <w:pPr>
        <w:rPr>
          <w:rFonts w:ascii="Tahoma" w:hAnsi="Tahoma" w:cs="Tahoma"/>
          <w:sz w:val="18"/>
          <w:szCs w:val="18"/>
        </w:rPr>
      </w:pPr>
    </w:p>
    <w:sectPr w:rsidR="001B31E1" w:rsidRPr="00414212" w:rsidSect="009608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D7" w:rsidRDefault="001333D7" w:rsidP="001F7814">
      <w:pPr>
        <w:spacing w:after="0" w:line="240" w:lineRule="auto"/>
      </w:pPr>
      <w:r>
        <w:separator/>
      </w:r>
    </w:p>
  </w:endnote>
  <w:endnote w:type="continuationSeparator" w:id="0">
    <w:p w:rsidR="001333D7" w:rsidRDefault="001333D7" w:rsidP="001F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D7" w:rsidRDefault="001333D7" w:rsidP="001F7814">
      <w:pPr>
        <w:spacing w:after="0" w:line="240" w:lineRule="auto"/>
      </w:pPr>
      <w:r>
        <w:separator/>
      </w:r>
    </w:p>
  </w:footnote>
  <w:footnote w:type="continuationSeparator" w:id="0">
    <w:p w:rsidR="001333D7" w:rsidRDefault="001333D7" w:rsidP="001F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021" w:rsidRDefault="00556021">
    <w:pPr>
      <w:pStyle w:val="Nagwek"/>
    </w:pPr>
    <w:r>
      <w:rPr>
        <w:noProof/>
        <w:lang w:eastAsia="pl-PL"/>
      </w:rPr>
      <w:drawing>
        <wp:inline distT="0" distB="0" distL="0" distR="0" wp14:anchorId="13A9F31F">
          <wp:extent cx="575500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0EB"/>
    <w:multiLevelType w:val="hybridMultilevel"/>
    <w:tmpl w:val="C36CA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4193"/>
    <w:multiLevelType w:val="hybridMultilevel"/>
    <w:tmpl w:val="DACC5428"/>
    <w:lvl w:ilvl="0" w:tplc="04150001">
      <w:start w:val="1"/>
      <w:numFmt w:val="bullet"/>
      <w:lvlText w:val=""/>
      <w:lvlJc w:val="left"/>
      <w:pPr>
        <w:ind w:left="-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</w:abstractNum>
  <w:abstractNum w:abstractNumId="2">
    <w:nsid w:val="0CAA02BD"/>
    <w:multiLevelType w:val="hybridMultilevel"/>
    <w:tmpl w:val="5AEA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B1FB2"/>
    <w:multiLevelType w:val="hybridMultilevel"/>
    <w:tmpl w:val="292A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66397"/>
    <w:multiLevelType w:val="hybridMultilevel"/>
    <w:tmpl w:val="DDB2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77036"/>
    <w:multiLevelType w:val="hybridMultilevel"/>
    <w:tmpl w:val="33A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3090B"/>
    <w:multiLevelType w:val="hybridMultilevel"/>
    <w:tmpl w:val="5D283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C0EB9"/>
    <w:multiLevelType w:val="hybridMultilevel"/>
    <w:tmpl w:val="E52A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538BE"/>
    <w:multiLevelType w:val="hybridMultilevel"/>
    <w:tmpl w:val="01C8CCFE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22DC7E23"/>
    <w:multiLevelType w:val="hybridMultilevel"/>
    <w:tmpl w:val="BBC6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43C9A"/>
    <w:multiLevelType w:val="multilevel"/>
    <w:tmpl w:val="2444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0268C"/>
    <w:multiLevelType w:val="hybridMultilevel"/>
    <w:tmpl w:val="FE80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80A7E"/>
    <w:multiLevelType w:val="hybridMultilevel"/>
    <w:tmpl w:val="5630F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537F4"/>
    <w:multiLevelType w:val="hybridMultilevel"/>
    <w:tmpl w:val="B85E8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20E47"/>
    <w:multiLevelType w:val="hybridMultilevel"/>
    <w:tmpl w:val="EFF05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C3F2B"/>
    <w:multiLevelType w:val="hybridMultilevel"/>
    <w:tmpl w:val="055A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F4170"/>
    <w:multiLevelType w:val="hybridMultilevel"/>
    <w:tmpl w:val="426A2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E1AA1"/>
    <w:multiLevelType w:val="hybridMultilevel"/>
    <w:tmpl w:val="8058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C354D"/>
    <w:multiLevelType w:val="hybridMultilevel"/>
    <w:tmpl w:val="F5D0D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F6B1F"/>
    <w:multiLevelType w:val="hybridMultilevel"/>
    <w:tmpl w:val="993C3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E7837"/>
    <w:multiLevelType w:val="hybridMultilevel"/>
    <w:tmpl w:val="7114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50C70"/>
    <w:multiLevelType w:val="hybridMultilevel"/>
    <w:tmpl w:val="8F28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72C88"/>
    <w:multiLevelType w:val="hybridMultilevel"/>
    <w:tmpl w:val="9496D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B16D0"/>
    <w:multiLevelType w:val="hybridMultilevel"/>
    <w:tmpl w:val="BACE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C02E3A"/>
    <w:multiLevelType w:val="hybridMultilevel"/>
    <w:tmpl w:val="669A8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52A1C"/>
    <w:multiLevelType w:val="hybridMultilevel"/>
    <w:tmpl w:val="4F303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056D2E"/>
    <w:multiLevelType w:val="hybridMultilevel"/>
    <w:tmpl w:val="B10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57B85"/>
    <w:multiLevelType w:val="hybridMultilevel"/>
    <w:tmpl w:val="FE84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87E4F"/>
    <w:multiLevelType w:val="hybridMultilevel"/>
    <w:tmpl w:val="DF08D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17"/>
  </w:num>
  <w:num w:numId="5">
    <w:abstractNumId w:val="5"/>
  </w:num>
  <w:num w:numId="6">
    <w:abstractNumId w:val="20"/>
  </w:num>
  <w:num w:numId="7">
    <w:abstractNumId w:val="9"/>
  </w:num>
  <w:num w:numId="8">
    <w:abstractNumId w:val="15"/>
  </w:num>
  <w:num w:numId="9">
    <w:abstractNumId w:val="12"/>
  </w:num>
  <w:num w:numId="10">
    <w:abstractNumId w:val="7"/>
  </w:num>
  <w:num w:numId="11">
    <w:abstractNumId w:val="6"/>
  </w:num>
  <w:num w:numId="12">
    <w:abstractNumId w:val="3"/>
  </w:num>
  <w:num w:numId="13">
    <w:abstractNumId w:val="28"/>
  </w:num>
  <w:num w:numId="14">
    <w:abstractNumId w:val="27"/>
  </w:num>
  <w:num w:numId="15">
    <w:abstractNumId w:val="16"/>
  </w:num>
  <w:num w:numId="16">
    <w:abstractNumId w:val="4"/>
  </w:num>
  <w:num w:numId="17">
    <w:abstractNumId w:val="26"/>
  </w:num>
  <w:num w:numId="18">
    <w:abstractNumId w:val="21"/>
  </w:num>
  <w:num w:numId="19">
    <w:abstractNumId w:val="14"/>
  </w:num>
  <w:num w:numId="20">
    <w:abstractNumId w:val="0"/>
  </w:num>
  <w:num w:numId="21">
    <w:abstractNumId w:val="8"/>
  </w:num>
  <w:num w:numId="22">
    <w:abstractNumId w:val="2"/>
  </w:num>
  <w:num w:numId="23">
    <w:abstractNumId w:val="13"/>
  </w:num>
  <w:num w:numId="24">
    <w:abstractNumId w:val="25"/>
  </w:num>
  <w:num w:numId="25">
    <w:abstractNumId w:val="11"/>
  </w:num>
  <w:num w:numId="26">
    <w:abstractNumId w:val="18"/>
  </w:num>
  <w:num w:numId="27">
    <w:abstractNumId w:val="24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B9"/>
    <w:rsid w:val="00006C00"/>
    <w:rsid w:val="00013E63"/>
    <w:rsid w:val="00036A12"/>
    <w:rsid w:val="0005291C"/>
    <w:rsid w:val="00066BF8"/>
    <w:rsid w:val="00073A41"/>
    <w:rsid w:val="000A4001"/>
    <w:rsid w:val="000B406A"/>
    <w:rsid w:val="000B7165"/>
    <w:rsid w:val="000C5234"/>
    <w:rsid w:val="000D57A0"/>
    <w:rsid w:val="000D7EA6"/>
    <w:rsid w:val="000F0919"/>
    <w:rsid w:val="000F4463"/>
    <w:rsid w:val="00103CCE"/>
    <w:rsid w:val="00112AD0"/>
    <w:rsid w:val="001227F8"/>
    <w:rsid w:val="001302EE"/>
    <w:rsid w:val="00131133"/>
    <w:rsid w:val="001321B3"/>
    <w:rsid w:val="001333D7"/>
    <w:rsid w:val="00135D58"/>
    <w:rsid w:val="00136430"/>
    <w:rsid w:val="00141303"/>
    <w:rsid w:val="00150B21"/>
    <w:rsid w:val="0016268B"/>
    <w:rsid w:val="001641A7"/>
    <w:rsid w:val="0016493F"/>
    <w:rsid w:val="00166008"/>
    <w:rsid w:val="00172936"/>
    <w:rsid w:val="0017440A"/>
    <w:rsid w:val="00187856"/>
    <w:rsid w:val="001A396F"/>
    <w:rsid w:val="001A6AD7"/>
    <w:rsid w:val="001B31E1"/>
    <w:rsid w:val="001C06F2"/>
    <w:rsid w:val="001C3CDE"/>
    <w:rsid w:val="001D0907"/>
    <w:rsid w:val="001D13B2"/>
    <w:rsid w:val="001D5123"/>
    <w:rsid w:val="001E28A1"/>
    <w:rsid w:val="001E5F37"/>
    <w:rsid w:val="001F7814"/>
    <w:rsid w:val="00204BE0"/>
    <w:rsid w:val="002074A5"/>
    <w:rsid w:val="002249CA"/>
    <w:rsid w:val="00230612"/>
    <w:rsid w:val="0024524C"/>
    <w:rsid w:val="0025587A"/>
    <w:rsid w:val="00255B6B"/>
    <w:rsid w:val="00263288"/>
    <w:rsid w:val="0026330B"/>
    <w:rsid w:val="00275165"/>
    <w:rsid w:val="002762C5"/>
    <w:rsid w:val="002903F7"/>
    <w:rsid w:val="0029218E"/>
    <w:rsid w:val="0029350C"/>
    <w:rsid w:val="002A1FEA"/>
    <w:rsid w:val="002A35A7"/>
    <w:rsid w:val="002A4DFD"/>
    <w:rsid w:val="002C0973"/>
    <w:rsid w:val="002C2801"/>
    <w:rsid w:val="002D16C9"/>
    <w:rsid w:val="002D2AB3"/>
    <w:rsid w:val="002D406A"/>
    <w:rsid w:val="002D680F"/>
    <w:rsid w:val="002E2FAC"/>
    <w:rsid w:val="003103F3"/>
    <w:rsid w:val="0032464D"/>
    <w:rsid w:val="00325044"/>
    <w:rsid w:val="00340A67"/>
    <w:rsid w:val="00344B08"/>
    <w:rsid w:val="00370B00"/>
    <w:rsid w:val="00384FB4"/>
    <w:rsid w:val="003942E6"/>
    <w:rsid w:val="00395993"/>
    <w:rsid w:val="003A0EA3"/>
    <w:rsid w:val="003B10B4"/>
    <w:rsid w:val="003B196D"/>
    <w:rsid w:val="003C0655"/>
    <w:rsid w:val="003D1C5A"/>
    <w:rsid w:val="003D5FB0"/>
    <w:rsid w:val="003D6733"/>
    <w:rsid w:val="003E404A"/>
    <w:rsid w:val="003F0F90"/>
    <w:rsid w:val="003F190D"/>
    <w:rsid w:val="003F5CCA"/>
    <w:rsid w:val="004030EC"/>
    <w:rsid w:val="00407094"/>
    <w:rsid w:val="00414212"/>
    <w:rsid w:val="00415115"/>
    <w:rsid w:val="0041547F"/>
    <w:rsid w:val="004155EB"/>
    <w:rsid w:val="004256F0"/>
    <w:rsid w:val="00430018"/>
    <w:rsid w:val="0043505B"/>
    <w:rsid w:val="00437F7A"/>
    <w:rsid w:val="0044716A"/>
    <w:rsid w:val="00450A08"/>
    <w:rsid w:val="00454961"/>
    <w:rsid w:val="00454DF5"/>
    <w:rsid w:val="00466545"/>
    <w:rsid w:val="004728D4"/>
    <w:rsid w:val="0047334A"/>
    <w:rsid w:val="00480D18"/>
    <w:rsid w:val="0048237C"/>
    <w:rsid w:val="00486291"/>
    <w:rsid w:val="004A00F3"/>
    <w:rsid w:val="004A2375"/>
    <w:rsid w:val="004B0375"/>
    <w:rsid w:val="004B2CD3"/>
    <w:rsid w:val="004B3CCB"/>
    <w:rsid w:val="004C2372"/>
    <w:rsid w:val="004E6B38"/>
    <w:rsid w:val="00500CC1"/>
    <w:rsid w:val="0053236A"/>
    <w:rsid w:val="005422C7"/>
    <w:rsid w:val="00552EB9"/>
    <w:rsid w:val="0055343F"/>
    <w:rsid w:val="00556021"/>
    <w:rsid w:val="005612DF"/>
    <w:rsid w:val="00563F08"/>
    <w:rsid w:val="00572D52"/>
    <w:rsid w:val="00577C0D"/>
    <w:rsid w:val="005801AE"/>
    <w:rsid w:val="00597AC5"/>
    <w:rsid w:val="005A28EB"/>
    <w:rsid w:val="005B2C14"/>
    <w:rsid w:val="005B7883"/>
    <w:rsid w:val="005C378C"/>
    <w:rsid w:val="005C3F45"/>
    <w:rsid w:val="005C5D51"/>
    <w:rsid w:val="005D68EE"/>
    <w:rsid w:val="00607E4B"/>
    <w:rsid w:val="006155EA"/>
    <w:rsid w:val="0062369C"/>
    <w:rsid w:val="00646A13"/>
    <w:rsid w:val="006530FB"/>
    <w:rsid w:val="00661862"/>
    <w:rsid w:val="00684EC3"/>
    <w:rsid w:val="006A0EB5"/>
    <w:rsid w:val="006A14BD"/>
    <w:rsid w:val="006A5871"/>
    <w:rsid w:val="006D7F84"/>
    <w:rsid w:val="006E387D"/>
    <w:rsid w:val="006E73C8"/>
    <w:rsid w:val="00705703"/>
    <w:rsid w:val="00710EB3"/>
    <w:rsid w:val="0071185A"/>
    <w:rsid w:val="0071530B"/>
    <w:rsid w:val="00722962"/>
    <w:rsid w:val="00724031"/>
    <w:rsid w:val="00725069"/>
    <w:rsid w:val="00725BF9"/>
    <w:rsid w:val="00731694"/>
    <w:rsid w:val="0073558B"/>
    <w:rsid w:val="00750954"/>
    <w:rsid w:val="00757E6B"/>
    <w:rsid w:val="00762186"/>
    <w:rsid w:val="00765F81"/>
    <w:rsid w:val="00785370"/>
    <w:rsid w:val="00786283"/>
    <w:rsid w:val="00794884"/>
    <w:rsid w:val="007A5EAF"/>
    <w:rsid w:val="007B48C9"/>
    <w:rsid w:val="007C3E55"/>
    <w:rsid w:val="007D0894"/>
    <w:rsid w:val="007D25F3"/>
    <w:rsid w:val="007D7586"/>
    <w:rsid w:val="007E4C11"/>
    <w:rsid w:val="007E4F45"/>
    <w:rsid w:val="007E74BE"/>
    <w:rsid w:val="007F03FE"/>
    <w:rsid w:val="007F04D9"/>
    <w:rsid w:val="008011A7"/>
    <w:rsid w:val="008012AF"/>
    <w:rsid w:val="00813A40"/>
    <w:rsid w:val="00816DF3"/>
    <w:rsid w:val="00834B37"/>
    <w:rsid w:val="00834F85"/>
    <w:rsid w:val="00841CA6"/>
    <w:rsid w:val="00845AD4"/>
    <w:rsid w:val="00846CA4"/>
    <w:rsid w:val="00846DA6"/>
    <w:rsid w:val="00847242"/>
    <w:rsid w:val="0084736D"/>
    <w:rsid w:val="00861AFF"/>
    <w:rsid w:val="008A26CF"/>
    <w:rsid w:val="008A4014"/>
    <w:rsid w:val="008A72F5"/>
    <w:rsid w:val="008B0C2A"/>
    <w:rsid w:val="008B3BF1"/>
    <w:rsid w:val="008B698D"/>
    <w:rsid w:val="008B7788"/>
    <w:rsid w:val="008C0B92"/>
    <w:rsid w:val="008C72D3"/>
    <w:rsid w:val="008D3F7F"/>
    <w:rsid w:val="008E321C"/>
    <w:rsid w:val="008F1FD9"/>
    <w:rsid w:val="008F279D"/>
    <w:rsid w:val="00901E5C"/>
    <w:rsid w:val="00941ABC"/>
    <w:rsid w:val="0095289F"/>
    <w:rsid w:val="009608BC"/>
    <w:rsid w:val="00980C35"/>
    <w:rsid w:val="0099143D"/>
    <w:rsid w:val="00995CD3"/>
    <w:rsid w:val="00997059"/>
    <w:rsid w:val="009B4ED8"/>
    <w:rsid w:val="009C4F94"/>
    <w:rsid w:val="009D339B"/>
    <w:rsid w:val="009D5567"/>
    <w:rsid w:val="009E1D33"/>
    <w:rsid w:val="009F0A50"/>
    <w:rsid w:val="00A0591C"/>
    <w:rsid w:val="00A06876"/>
    <w:rsid w:val="00A12BC5"/>
    <w:rsid w:val="00A24339"/>
    <w:rsid w:val="00A43C46"/>
    <w:rsid w:val="00A54771"/>
    <w:rsid w:val="00A7365C"/>
    <w:rsid w:val="00A74136"/>
    <w:rsid w:val="00AB6BE2"/>
    <w:rsid w:val="00AE18F4"/>
    <w:rsid w:val="00AE46E1"/>
    <w:rsid w:val="00AE4E5D"/>
    <w:rsid w:val="00B106F6"/>
    <w:rsid w:val="00B21304"/>
    <w:rsid w:val="00B35B7E"/>
    <w:rsid w:val="00B35FCE"/>
    <w:rsid w:val="00B40685"/>
    <w:rsid w:val="00B56D4D"/>
    <w:rsid w:val="00B615D5"/>
    <w:rsid w:val="00B65105"/>
    <w:rsid w:val="00B8037B"/>
    <w:rsid w:val="00B8376B"/>
    <w:rsid w:val="00B93E3F"/>
    <w:rsid w:val="00B94853"/>
    <w:rsid w:val="00B96560"/>
    <w:rsid w:val="00BA1C27"/>
    <w:rsid w:val="00BC10AF"/>
    <w:rsid w:val="00BC4369"/>
    <w:rsid w:val="00BC5251"/>
    <w:rsid w:val="00BE4124"/>
    <w:rsid w:val="00BE7B25"/>
    <w:rsid w:val="00C12E02"/>
    <w:rsid w:val="00C66598"/>
    <w:rsid w:val="00C752F7"/>
    <w:rsid w:val="00C86755"/>
    <w:rsid w:val="00C87453"/>
    <w:rsid w:val="00C91B94"/>
    <w:rsid w:val="00CA044F"/>
    <w:rsid w:val="00CA2770"/>
    <w:rsid w:val="00CC4763"/>
    <w:rsid w:val="00CD24F6"/>
    <w:rsid w:val="00D076D9"/>
    <w:rsid w:val="00D11866"/>
    <w:rsid w:val="00D2504B"/>
    <w:rsid w:val="00D33F3A"/>
    <w:rsid w:val="00D37365"/>
    <w:rsid w:val="00D43FAB"/>
    <w:rsid w:val="00D54292"/>
    <w:rsid w:val="00D55907"/>
    <w:rsid w:val="00D60177"/>
    <w:rsid w:val="00D62F60"/>
    <w:rsid w:val="00D66C30"/>
    <w:rsid w:val="00D84BCA"/>
    <w:rsid w:val="00D84DBA"/>
    <w:rsid w:val="00DA0728"/>
    <w:rsid w:val="00DB7536"/>
    <w:rsid w:val="00DC610B"/>
    <w:rsid w:val="00DF5555"/>
    <w:rsid w:val="00E12C58"/>
    <w:rsid w:val="00E20AD1"/>
    <w:rsid w:val="00E27606"/>
    <w:rsid w:val="00E3344A"/>
    <w:rsid w:val="00E43423"/>
    <w:rsid w:val="00E56496"/>
    <w:rsid w:val="00E655C6"/>
    <w:rsid w:val="00E7384F"/>
    <w:rsid w:val="00E75804"/>
    <w:rsid w:val="00E87CE9"/>
    <w:rsid w:val="00E912FA"/>
    <w:rsid w:val="00EA49BC"/>
    <w:rsid w:val="00EB3C57"/>
    <w:rsid w:val="00EB4F37"/>
    <w:rsid w:val="00EC1F45"/>
    <w:rsid w:val="00ED11CF"/>
    <w:rsid w:val="00EE78E6"/>
    <w:rsid w:val="00F019D5"/>
    <w:rsid w:val="00F02AE8"/>
    <w:rsid w:val="00F049E4"/>
    <w:rsid w:val="00F05DC7"/>
    <w:rsid w:val="00F25942"/>
    <w:rsid w:val="00F4027B"/>
    <w:rsid w:val="00F4171F"/>
    <w:rsid w:val="00F4188B"/>
    <w:rsid w:val="00F4292A"/>
    <w:rsid w:val="00F54AC1"/>
    <w:rsid w:val="00F54B77"/>
    <w:rsid w:val="00F676C8"/>
    <w:rsid w:val="00F87623"/>
    <w:rsid w:val="00FB45E4"/>
    <w:rsid w:val="00FB6539"/>
    <w:rsid w:val="00FC6C28"/>
    <w:rsid w:val="00FC78C4"/>
    <w:rsid w:val="00FD2DD8"/>
    <w:rsid w:val="00FE644F"/>
    <w:rsid w:val="00FE76BB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83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47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7334A"/>
  </w:style>
  <w:style w:type="character" w:customStyle="1" w:styleId="eop">
    <w:name w:val="eop"/>
    <w:basedOn w:val="Domylnaczcionkaakapitu"/>
    <w:rsid w:val="0047334A"/>
  </w:style>
  <w:style w:type="character" w:customStyle="1" w:styleId="bcx2">
    <w:name w:val="bcx2"/>
    <w:basedOn w:val="Domylnaczcionkaakapitu"/>
    <w:rsid w:val="0047334A"/>
  </w:style>
  <w:style w:type="character" w:customStyle="1" w:styleId="spellingerror">
    <w:name w:val="spellingerror"/>
    <w:basedOn w:val="Domylnaczcionkaakapitu"/>
    <w:rsid w:val="0047334A"/>
  </w:style>
  <w:style w:type="character" w:customStyle="1" w:styleId="scxw28670076">
    <w:name w:val="scxw28670076"/>
    <w:basedOn w:val="Domylnaczcionkaakapitu"/>
    <w:rsid w:val="0047334A"/>
  </w:style>
  <w:style w:type="character" w:customStyle="1" w:styleId="scxw238566402">
    <w:name w:val="scxw238566402"/>
    <w:basedOn w:val="Domylnaczcionkaakapitu"/>
    <w:rsid w:val="0047334A"/>
  </w:style>
  <w:style w:type="character" w:customStyle="1" w:styleId="scxw85976057">
    <w:name w:val="scxw85976057"/>
    <w:basedOn w:val="Domylnaczcionkaakapitu"/>
    <w:rsid w:val="0047334A"/>
  </w:style>
  <w:style w:type="character" w:customStyle="1" w:styleId="contextualspellingandgrammarerror">
    <w:name w:val="contextualspellingandgrammarerror"/>
    <w:basedOn w:val="Domylnaczcionkaakapitu"/>
    <w:rsid w:val="0047334A"/>
  </w:style>
  <w:style w:type="character" w:customStyle="1" w:styleId="is-text">
    <w:name w:val="is-text"/>
    <w:basedOn w:val="Domylnaczcionkaakapitu"/>
    <w:rsid w:val="009C4F94"/>
  </w:style>
  <w:style w:type="paragraph" w:styleId="NormalnyWeb">
    <w:name w:val="Normal (Web)"/>
    <w:basedOn w:val="Normalny"/>
    <w:uiPriority w:val="99"/>
    <w:unhideWhenUsed/>
    <w:rsid w:val="009C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B0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4B08"/>
    <w:rPr>
      <w:color w:val="605E5C"/>
      <w:shd w:val="clear" w:color="auto" w:fill="E1DFDD"/>
    </w:rPr>
  </w:style>
  <w:style w:type="paragraph" w:customStyle="1" w:styleId="TableParagraph">
    <w:name w:val="Table Paragraph"/>
    <w:basedOn w:val="Normalny"/>
    <w:uiPriority w:val="1"/>
    <w:qFormat/>
    <w:rsid w:val="00577C0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814"/>
  </w:style>
  <w:style w:type="paragraph" w:styleId="Stopka">
    <w:name w:val="footer"/>
    <w:basedOn w:val="Normalny"/>
    <w:link w:val="StopkaZnak"/>
    <w:uiPriority w:val="99"/>
    <w:unhideWhenUsed/>
    <w:rsid w:val="001F7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814"/>
  </w:style>
  <w:style w:type="paragraph" w:styleId="Akapitzlist">
    <w:name w:val="List Paragraph"/>
    <w:basedOn w:val="Normalny"/>
    <w:uiPriority w:val="34"/>
    <w:qFormat/>
    <w:rsid w:val="00725069"/>
    <w:pPr>
      <w:ind w:left="720"/>
      <w:contextualSpacing/>
    </w:pPr>
  </w:style>
  <w:style w:type="paragraph" w:styleId="Bezodstpw">
    <w:name w:val="No Spacing"/>
    <w:uiPriority w:val="1"/>
    <w:qFormat/>
    <w:rsid w:val="00563F0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C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C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C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C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C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D3"/>
    <w:rPr>
      <w:rFonts w:ascii="Segoe UI" w:hAnsi="Segoe UI" w:cs="Segoe UI"/>
      <w:sz w:val="18"/>
      <w:szCs w:val="18"/>
    </w:rPr>
  </w:style>
  <w:style w:type="character" w:customStyle="1" w:styleId="Tytu1">
    <w:name w:val="Tytuł1"/>
    <w:basedOn w:val="Domylnaczcionkaakapitu"/>
    <w:rsid w:val="007E4C11"/>
  </w:style>
  <w:style w:type="character" w:styleId="Pogrubienie">
    <w:name w:val="Strong"/>
    <w:basedOn w:val="Domylnaczcionkaakapitu"/>
    <w:uiPriority w:val="22"/>
    <w:qFormat/>
    <w:rsid w:val="004B0375"/>
    <w:rPr>
      <w:b/>
      <w:bCs/>
    </w:rPr>
  </w:style>
  <w:style w:type="table" w:customStyle="1" w:styleId="NormalTable0">
    <w:name w:val="Normal Table0"/>
    <w:uiPriority w:val="2"/>
    <w:semiHidden/>
    <w:unhideWhenUsed/>
    <w:qFormat/>
    <w:rsid w:val="00834B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47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7334A"/>
  </w:style>
  <w:style w:type="character" w:customStyle="1" w:styleId="eop">
    <w:name w:val="eop"/>
    <w:basedOn w:val="Domylnaczcionkaakapitu"/>
    <w:rsid w:val="0047334A"/>
  </w:style>
  <w:style w:type="character" w:customStyle="1" w:styleId="bcx2">
    <w:name w:val="bcx2"/>
    <w:basedOn w:val="Domylnaczcionkaakapitu"/>
    <w:rsid w:val="0047334A"/>
  </w:style>
  <w:style w:type="character" w:customStyle="1" w:styleId="spellingerror">
    <w:name w:val="spellingerror"/>
    <w:basedOn w:val="Domylnaczcionkaakapitu"/>
    <w:rsid w:val="0047334A"/>
  </w:style>
  <w:style w:type="character" w:customStyle="1" w:styleId="scxw28670076">
    <w:name w:val="scxw28670076"/>
    <w:basedOn w:val="Domylnaczcionkaakapitu"/>
    <w:rsid w:val="0047334A"/>
  </w:style>
  <w:style w:type="character" w:customStyle="1" w:styleId="scxw238566402">
    <w:name w:val="scxw238566402"/>
    <w:basedOn w:val="Domylnaczcionkaakapitu"/>
    <w:rsid w:val="0047334A"/>
  </w:style>
  <w:style w:type="character" w:customStyle="1" w:styleId="scxw85976057">
    <w:name w:val="scxw85976057"/>
    <w:basedOn w:val="Domylnaczcionkaakapitu"/>
    <w:rsid w:val="0047334A"/>
  </w:style>
  <w:style w:type="character" w:customStyle="1" w:styleId="contextualspellingandgrammarerror">
    <w:name w:val="contextualspellingandgrammarerror"/>
    <w:basedOn w:val="Domylnaczcionkaakapitu"/>
    <w:rsid w:val="0047334A"/>
  </w:style>
  <w:style w:type="character" w:customStyle="1" w:styleId="is-text">
    <w:name w:val="is-text"/>
    <w:basedOn w:val="Domylnaczcionkaakapitu"/>
    <w:rsid w:val="009C4F94"/>
  </w:style>
  <w:style w:type="paragraph" w:styleId="NormalnyWeb">
    <w:name w:val="Normal (Web)"/>
    <w:basedOn w:val="Normalny"/>
    <w:uiPriority w:val="99"/>
    <w:unhideWhenUsed/>
    <w:rsid w:val="009C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CF89-2211-499C-B5FE-414EA62A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Ogłuszka</dc:creator>
  <cp:keywords/>
  <dc:description/>
  <cp:lastModifiedBy>Użytkownik</cp:lastModifiedBy>
  <cp:revision>10</cp:revision>
  <cp:lastPrinted>2020-12-16T10:09:00Z</cp:lastPrinted>
  <dcterms:created xsi:type="dcterms:W3CDTF">2021-01-21T14:11:00Z</dcterms:created>
  <dcterms:modified xsi:type="dcterms:W3CDTF">2021-08-30T06:14:00Z</dcterms:modified>
</cp:coreProperties>
</file>